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FB3FE5" w:rsidP="005067C9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FB3FE5">
        <w:rPr>
          <w:rFonts w:asciiTheme="majorBidi" w:hAnsiTheme="majorBidi" w:cstheme="majorBidi"/>
          <w:b/>
          <w:bCs/>
          <w:sz w:val="32"/>
          <w:szCs w:val="32"/>
        </w:rPr>
        <w:t xml:space="preserve">The Effect of Retail Mergers and </w:t>
      </w:r>
      <w:r w:rsidR="005067C9">
        <w:rPr>
          <w:rFonts w:asciiTheme="majorBidi" w:hAnsiTheme="majorBidi" w:cstheme="majorBidi"/>
          <w:b/>
          <w:bCs/>
          <w:sz w:val="32"/>
          <w:szCs w:val="32"/>
        </w:rPr>
        <w:t>Variety: An Ex-post Evaluation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EE1B6B" w:rsidRDefault="00027EC8" w:rsidP="00FB3FE5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EE1B6B" w:rsidRPr="00EE1B6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Elena </w:t>
      </w:r>
      <w:proofErr w:type="spellStart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Argentesi</w:t>
      </w:r>
      <w:proofErr w:type="spellEnd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, Paolo </w:t>
      </w:r>
      <w:proofErr w:type="spellStart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Buccirossi</w:t>
      </w:r>
      <w:proofErr w:type="spellEnd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, Roberto </w:t>
      </w:r>
      <w:proofErr w:type="spellStart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Cervone</w:t>
      </w:r>
      <w:proofErr w:type="spellEnd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and </w:t>
      </w:r>
      <w:proofErr w:type="spellStart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Alessia</w:t>
      </w:r>
      <w:proofErr w:type="spellEnd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FB3FE5" w:rsidRPr="00FB3FE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Marrazzo</w:t>
      </w:r>
      <w:proofErr w:type="spellEnd"/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We use an original dataset on Dutch supermarkets to assess the effect of a merger that was conditionally approved by the Dutch Competition Authority (ACM) on prices and </w:t>
      </w:r>
      <w:r w:rsidRPr="002C1857">
        <w:rPr>
          <w:rFonts w:asciiTheme="majorBidi" w:hAnsiTheme="majorBidi" w:cstheme="majorBidi"/>
          <w:sz w:val="26"/>
          <w:szCs w:val="26"/>
        </w:rPr>
        <w:br/>
      </w:r>
      <w:r w:rsidR="009D735C">
        <w:rPr>
          <w:rFonts w:asciiTheme="majorBidi" w:hAnsiTheme="majorBidi" w:cstheme="majorBidi"/>
          <w:sz w:val="26"/>
          <w:szCs w:val="26"/>
        </w:rPr>
        <w:t>on the depth of assortment.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We adopt a difference-in-differences strategy that exploits local variation in the merger’s effects and we further control for selection on observables when defining our control grou</w:t>
      </w:r>
      <w:r w:rsidR="009D735C">
        <w:rPr>
          <w:rFonts w:asciiTheme="majorBidi" w:hAnsiTheme="majorBidi" w:cstheme="majorBidi"/>
          <w:sz w:val="26"/>
          <w:szCs w:val="26"/>
        </w:rPr>
        <w:t>p through a matching procedure.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We find that the merger did not affect individual products’ prices but it led the merging parties to reposition their assortment and in</w:t>
      </w:r>
      <w:r w:rsidR="001D41F9">
        <w:rPr>
          <w:rFonts w:asciiTheme="majorBidi" w:hAnsiTheme="majorBidi" w:cstheme="majorBidi"/>
          <w:sz w:val="26"/>
          <w:szCs w:val="26"/>
        </w:rPr>
        <w:t>crease average category prices.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While the low-quality target stores reduced the depth of their assortment when in direct competition with the acquirer’s stores, the latter i</w:t>
      </w:r>
      <w:r w:rsidR="001D41F9">
        <w:rPr>
          <w:rFonts w:asciiTheme="majorBidi" w:hAnsiTheme="majorBidi" w:cstheme="majorBidi"/>
          <w:sz w:val="26"/>
          <w:szCs w:val="26"/>
        </w:rPr>
        <w:t>ncreased their product variety.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By analyzing the effect of the merger on category prices, we find that the target most likely dropped high priced products, while the acquirer added more of them.</w:t>
      </w:r>
    </w:p>
    <w:p w:rsidR="002C1857" w:rsidRP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These findings suggests that the merging firms reposition their product offerings in order to avoid cannibalizatio</w:t>
      </w:r>
      <w:r w:rsidR="001D41F9">
        <w:rPr>
          <w:rFonts w:asciiTheme="majorBidi" w:hAnsiTheme="majorBidi" w:cstheme="majorBidi"/>
          <w:sz w:val="26"/>
          <w:szCs w:val="26"/>
        </w:rPr>
        <w:t>n and lessen local competition.</w:t>
      </w:r>
    </w:p>
    <w:p w:rsidR="002C1857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We further show that other dimensions of heterogeneity such as market concentration, whether a divestiture was imposed, and the re-branding strategy of the target stores are important to explain the post-merger dynamics.</w:t>
      </w:r>
    </w:p>
    <w:p w:rsidR="00600DEA" w:rsidRPr="00600DEA" w:rsidRDefault="002C1857" w:rsidP="002C185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1857">
        <w:rPr>
          <w:rFonts w:asciiTheme="majorBidi" w:hAnsiTheme="majorBidi" w:cstheme="majorBidi"/>
          <w:sz w:val="26"/>
          <w:szCs w:val="26"/>
        </w:rPr>
        <w:t>A simple theoretical model of local-market assortment competition explains most of our findings.</w:t>
      </w:r>
      <w:bookmarkStart w:id="0" w:name="_GoBack"/>
      <w:bookmarkEnd w:id="0"/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53AF-0616-411B-87A6-662DD165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2017-01-20T13:02:00Z</dcterms:created>
  <dcterms:modified xsi:type="dcterms:W3CDTF">2018-04-11T14:48:00Z</dcterms:modified>
</cp:coreProperties>
</file>