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4951FD" w:rsidP="004951F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4951FD">
        <w:rPr>
          <w:rFonts w:asciiTheme="majorBidi" w:hAnsiTheme="majorBidi" w:cstheme="majorBidi"/>
          <w:b/>
          <w:bCs/>
          <w:sz w:val="32"/>
          <w:szCs w:val="32"/>
        </w:rPr>
        <w:t>Measuring and Mitigating Incentives for Service Distortion in Managed Health Care: the Israeli Example</w:t>
      </w:r>
    </w:p>
    <w:p w:rsidR="00041FAD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27EC8" w:rsidRPr="00EE1B6B" w:rsidRDefault="00027EC8" w:rsidP="00EE1B6B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EE1B6B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="00EE1B6B" w:rsidRPr="00EE1B6B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Shuli Brammli-Greenberg and Ruth Waitzberg</w:t>
      </w:r>
    </w:p>
    <w:p w:rsidR="00027EC8" w:rsidRPr="00AF79AC" w:rsidRDefault="00027EC8" w:rsidP="00027EC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CC3142" w:rsidRPr="00CC3142" w:rsidRDefault="00CC3142" w:rsidP="00CC314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C3142">
        <w:rPr>
          <w:rFonts w:asciiTheme="majorBidi" w:hAnsiTheme="majorBidi" w:cstheme="majorBidi"/>
          <w:sz w:val="26"/>
          <w:szCs w:val="26"/>
        </w:rPr>
        <w:t>In healthcare, service distortion (SD) takes place when health plans overprovide some services, in order to attract profitable enrollees, and underprovide others, in order to di</w:t>
      </w:r>
      <w:r>
        <w:rPr>
          <w:rFonts w:asciiTheme="majorBidi" w:hAnsiTheme="majorBidi" w:cstheme="majorBidi"/>
          <w:sz w:val="26"/>
          <w:szCs w:val="26"/>
        </w:rPr>
        <w:t>scourage the unprofitable ones.</w:t>
      </w:r>
      <w:bookmarkStart w:id="0" w:name="_GoBack"/>
      <w:bookmarkEnd w:id="0"/>
    </w:p>
    <w:p w:rsidR="00CC3142" w:rsidRPr="00CC3142" w:rsidRDefault="00CC3142" w:rsidP="00CC314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C3142">
        <w:rPr>
          <w:rFonts w:asciiTheme="majorBidi" w:hAnsiTheme="majorBidi" w:cstheme="majorBidi"/>
          <w:sz w:val="26"/>
          <w:szCs w:val="26"/>
        </w:rPr>
        <w:t>SD poses a major challenge to researchers and policy makers, since it i</w:t>
      </w:r>
      <w:r>
        <w:rPr>
          <w:rFonts w:asciiTheme="majorBidi" w:hAnsiTheme="majorBidi" w:cstheme="majorBidi"/>
          <w:sz w:val="26"/>
          <w:szCs w:val="26"/>
        </w:rPr>
        <w:t>s hard to measure and regulate.</w:t>
      </w:r>
    </w:p>
    <w:p w:rsidR="00CC3142" w:rsidRPr="00CC3142" w:rsidRDefault="00CC3142" w:rsidP="00CC314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C3142">
        <w:rPr>
          <w:rFonts w:asciiTheme="majorBidi" w:hAnsiTheme="majorBidi" w:cstheme="majorBidi"/>
          <w:sz w:val="26"/>
          <w:szCs w:val="26"/>
        </w:rPr>
        <w:t>Using Israeli data, we apply a new measure of SD to identify services that are likely to be distorted and evaluate several payment mechanism</w:t>
      </w:r>
      <w:r>
        <w:rPr>
          <w:rFonts w:asciiTheme="majorBidi" w:hAnsiTheme="majorBidi" w:cstheme="majorBidi"/>
          <w:sz w:val="26"/>
          <w:szCs w:val="26"/>
        </w:rPr>
        <w:t>s that can address the problem.</w:t>
      </w:r>
    </w:p>
    <w:p w:rsidR="00600DEA" w:rsidRPr="00600DEA" w:rsidRDefault="00CC3142" w:rsidP="00CC314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C3142">
        <w:rPr>
          <w:rFonts w:asciiTheme="majorBidi" w:hAnsiTheme="majorBidi" w:cstheme="majorBidi"/>
          <w:sz w:val="26"/>
          <w:szCs w:val="26"/>
        </w:rPr>
        <w:t>We show that a mixed payment scheme, with a modest level of cost sharing, is a significant improvement up</w:t>
      </w:r>
      <w:r>
        <w:rPr>
          <w:rFonts w:asciiTheme="majorBidi" w:hAnsiTheme="majorBidi" w:cstheme="majorBidi"/>
          <w:sz w:val="26"/>
          <w:szCs w:val="26"/>
        </w:rPr>
        <w:t>on a pure risk-adjustment scheme.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C2128"/>
    <w:rsid w:val="002D6C7B"/>
    <w:rsid w:val="002E5787"/>
    <w:rsid w:val="003146D7"/>
    <w:rsid w:val="00331554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951FD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B5CEC"/>
    <w:rsid w:val="00CC3142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62D89"/>
    <w:rsid w:val="00E87300"/>
    <w:rsid w:val="00E87B9D"/>
    <w:rsid w:val="00EB01E0"/>
    <w:rsid w:val="00EB2B7F"/>
    <w:rsid w:val="00EC4DE4"/>
    <w:rsid w:val="00ED2B32"/>
    <w:rsid w:val="00EE1B6B"/>
    <w:rsid w:val="00EE493F"/>
    <w:rsid w:val="00EE49F1"/>
    <w:rsid w:val="00F01A19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F03B-94DA-48C7-BF2F-8925EF72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2017-01-20T13:02:00Z</dcterms:created>
  <dcterms:modified xsi:type="dcterms:W3CDTF">2018-03-16T13:45:00Z</dcterms:modified>
</cp:coreProperties>
</file>