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F01A19" w:rsidP="00F01A19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F01A19">
        <w:rPr>
          <w:rFonts w:asciiTheme="majorBidi" w:hAnsiTheme="majorBidi" w:cstheme="majorBidi"/>
          <w:b/>
          <w:bCs/>
          <w:sz w:val="32"/>
          <w:szCs w:val="32"/>
        </w:rPr>
        <w:t>Platforms, Power and Preferential Placement: Evidence from Spotify Playlists</w:t>
      </w:r>
      <w:r w:rsidR="00331554" w:rsidRPr="0033155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AF79AC" w:rsidRDefault="00027EC8" w:rsidP="00F01A19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r w:rsidR="00F01A19" w:rsidRPr="00F01A1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Luis </w:t>
      </w:r>
      <w:proofErr w:type="spellStart"/>
      <w:r w:rsidR="00F01A19" w:rsidRPr="00F01A1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Aguiar</w:t>
      </w:r>
      <w:proofErr w:type="spellEnd"/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Many online markets are dominated by a few, or a single, dominant platform, due to a combination of attractive functionality and network effects.</w:t>
      </w:r>
      <w:bookmarkStart w:id="0" w:name="_GoBack"/>
      <w:bookmarkEnd w:id="0"/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Because they often recommend and distribute others’ content alongside their own, powerful platforms may raise competitive concerns if they face incentives to treat their suppliers in a biased fa</w:t>
      </w:r>
      <w:r>
        <w:rPr>
          <w:rFonts w:asciiTheme="majorBidi" w:hAnsiTheme="majorBidi" w:cstheme="majorBidi"/>
          <w:sz w:val="26"/>
          <w:szCs w:val="26"/>
        </w:rPr>
        <w:t>shion.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In the interactive music streaming market, Spotify has shown tremendous growth over the last decade and is, as of 2017, the leading music streaming platform.  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We analyze Spotify’s ability to influence consumption choices through its music playlists and explore whether the platform, which is partially owned by major record labels, wields tha</w:t>
      </w:r>
      <w:r>
        <w:rPr>
          <w:rFonts w:asciiTheme="majorBidi" w:hAnsiTheme="majorBidi" w:cstheme="majorBidi"/>
          <w:sz w:val="26"/>
          <w:szCs w:val="26"/>
        </w:rPr>
        <w:t>t power in an unbiased fashion.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We show that the major Spotify-operated playlists have large and significa</w:t>
      </w:r>
      <w:r>
        <w:rPr>
          <w:rFonts w:asciiTheme="majorBidi" w:hAnsiTheme="majorBidi" w:cstheme="majorBidi"/>
          <w:sz w:val="26"/>
          <w:szCs w:val="26"/>
        </w:rPr>
        <w:t>nt causal impacts on streaming.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 xml:space="preserve">Appearing on the most-popular playlist raises a song’s eventual streams by almost 20 million, which translates to between $107,000 and $150,000 </w:t>
      </w:r>
      <w:r>
        <w:rPr>
          <w:rFonts w:asciiTheme="majorBidi" w:hAnsiTheme="majorBidi" w:cstheme="majorBidi"/>
          <w:sz w:val="26"/>
          <w:szCs w:val="26"/>
        </w:rPr>
        <w:t>in payments from Spotify alone.</w:t>
      </w:r>
    </w:p>
    <w:p w:rsidR="002C2128" w:rsidRPr="002C2128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We also find that the biggest playlists tend to favor music at the head of th</w:t>
      </w:r>
      <w:r>
        <w:rPr>
          <w:rFonts w:asciiTheme="majorBidi" w:hAnsiTheme="majorBidi" w:cstheme="majorBidi"/>
          <w:sz w:val="26"/>
          <w:szCs w:val="26"/>
        </w:rPr>
        <w:t>e streaming distribution.</w:t>
      </w:r>
    </w:p>
    <w:p w:rsidR="00600DEA" w:rsidRPr="00600DEA" w:rsidRDefault="002C2128" w:rsidP="002C21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C2128">
        <w:rPr>
          <w:rFonts w:asciiTheme="majorBidi" w:hAnsiTheme="majorBidi" w:cstheme="majorBidi"/>
          <w:sz w:val="26"/>
          <w:szCs w:val="26"/>
        </w:rPr>
        <w:t>Our results on bias are more equivocal.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2128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BFC1-1110-4092-B3F6-B290977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2017-01-20T13:02:00Z</dcterms:created>
  <dcterms:modified xsi:type="dcterms:W3CDTF">2018-02-16T09:34:00Z</dcterms:modified>
</cp:coreProperties>
</file>