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772C78" w:rsidP="00772C78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772C78">
        <w:rPr>
          <w:rFonts w:asciiTheme="majorBidi" w:hAnsiTheme="majorBidi" w:cstheme="majorBidi"/>
          <w:b/>
          <w:bCs/>
          <w:sz w:val="32"/>
          <w:szCs w:val="32"/>
        </w:rPr>
        <w:t>The Causal Effects of Pharmaceutical Payments on Physician Prescriptions</w:t>
      </w:r>
    </w:p>
    <w:p w:rsidR="004D5B16" w:rsidRPr="00AF79AC" w:rsidRDefault="004D5B16" w:rsidP="00970EAE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970EA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486B28" w:rsidRPr="00486B28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I provide estimates of the causal effects of payments from pharmaceutical companies on the prescribing habi</w:t>
      </w:r>
      <w:r>
        <w:rPr>
          <w:rFonts w:asciiTheme="majorBidi" w:hAnsiTheme="majorBidi" w:cstheme="majorBidi"/>
          <w:sz w:val="26"/>
          <w:szCs w:val="26"/>
        </w:rPr>
        <w:t>ts of Medicare Part D physicians.</w:t>
      </w:r>
    </w:p>
    <w:p w:rsidR="00486B28" w:rsidRPr="00486B28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Identifying the causal effects of payments associated with pharmaceutical “detailing” (marketing to physicians) is confounded by dynamic selection in and out of payment</w:t>
      </w:r>
      <w:r>
        <w:rPr>
          <w:rFonts w:asciiTheme="majorBidi" w:hAnsiTheme="majorBidi" w:cstheme="majorBidi"/>
          <w:sz w:val="26"/>
          <w:szCs w:val="26"/>
        </w:rPr>
        <w:t xml:space="preserve"> assignment by the drug producer.</w:t>
      </w:r>
    </w:p>
    <w:p w:rsidR="00486B28" w:rsidRPr="00486B28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I employ a novel identification strategy which uses exogenous variation in brand-related payments due to pharmaceutical producers undergoing a</w:t>
      </w:r>
      <w:r>
        <w:rPr>
          <w:rFonts w:asciiTheme="majorBidi" w:hAnsiTheme="majorBidi" w:cstheme="majorBidi"/>
          <w:sz w:val="26"/>
          <w:szCs w:val="26"/>
        </w:rPr>
        <w:t>cquisitions by other firms.</w:t>
      </w:r>
    </w:p>
    <w:p w:rsidR="00486B28" w:rsidRPr="00486B28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The analysis focuses primarily on aminosalicylates, the drug class used to treat inflammatory bowel disease, and finds that stopping payments to a physician reduces the probability that she will prescribe any drug from the aminosalicylates cla</w:t>
      </w:r>
      <w:r>
        <w:rPr>
          <w:rFonts w:asciiTheme="majorBidi" w:hAnsiTheme="majorBidi" w:cstheme="majorBidi"/>
          <w:sz w:val="26"/>
          <w:szCs w:val="26"/>
        </w:rPr>
        <w:t>ss by around 5 percentage points.</w:t>
      </w:r>
    </w:p>
    <w:p w:rsidR="00486B28" w:rsidRPr="00486B28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Decomposing payment effects to persistent and temporary components, I find that at most 50 percent of brand-specific effects and 80 percent of class</w:t>
      </w:r>
      <w:r>
        <w:rPr>
          <w:rFonts w:asciiTheme="majorBidi" w:hAnsiTheme="majorBidi" w:cstheme="majorBidi"/>
          <w:sz w:val="26"/>
          <w:szCs w:val="26"/>
        </w:rPr>
        <w:t>-specific effects are persistent.</w:t>
      </w:r>
    </w:p>
    <w:p w:rsidR="00E36F5A" w:rsidRPr="002252A1" w:rsidRDefault="00486B28" w:rsidP="00486B2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86B28">
        <w:rPr>
          <w:rFonts w:asciiTheme="majorBidi" w:hAnsiTheme="majorBidi" w:cstheme="majorBidi"/>
          <w:sz w:val="26"/>
          <w:szCs w:val="26"/>
        </w:rPr>
        <w:t>Payment effects in other drug classes s</w:t>
      </w:r>
      <w:r>
        <w:rPr>
          <w:rFonts w:asciiTheme="majorBidi" w:hAnsiTheme="majorBidi" w:cstheme="majorBidi"/>
          <w:sz w:val="26"/>
          <w:szCs w:val="26"/>
        </w:rPr>
        <w:t>eem to exhibit similar patterns.</w:t>
      </w:r>
      <w:bookmarkStart w:id="0" w:name="_GoBack"/>
      <w:bookmarkEnd w:id="0"/>
    </w:p>
    <w:sectPr w:rsidR="00E36F5A" w:rsidRPr="002252A1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A7F9A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86B28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C78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46D3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36F5A"/>
    <w:rsid w:val="00E87300"/>
    <w:rsid w:val="00E87B9D"/>
    <w:rsid w:val="00EB01E0"/>
    <w:rsid w:val="00EB2B7F"/>
    <w:rsid w:val="00EC4DE4"/>
    <w:rsid w:val="00ED2B32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EA75-31A7-4A1C-82E3-8F965DEF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2017-01-20T13:02:00Z</dcterms:created>
  <dcterms:modified xsi:type="dcterms:W3CDTF">2017-12-06T18:00:00Z</dcterms:modified>
</cp:coreProperties>
</file>