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060A96" w:rsidP="00060A96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bookmarkStart w:id="0" w:name="_GoBack"/>
      <w:bookmarkEnd w:id="0"/>
      <w:r w:rsidRPr="00060A96">
        <w:rPr>
          <w:rFonts w:asciiTheme="majorBidi" w:hAnsiTheme="majorBidi" w:cstheme="majorBidi"/>
          <w:b/>
          <w:bCs/>
          <w:sz w:val="32"/>
          <w:szCs w:val="32"/>
        </w:rPr>
        <w:t>Time-Varying Fluid Networks with Blocking: Models Supporting Patient Flow Analysis in Hospital</w:t>
      </w:r>
    </w:p>
    <w:p w:rsidR="00027EC8" w:rsidRPr="00C26EA3" w:rsidRDefault="00027EC8" w:rsidP="00C26EA3">
      <w:pPr>
        <w:shd w:val="clear" w:color="auto" w:fill="FFFFFF"/>
        <w:tabs>
          <w:tab w:val="left" w:pos="3795"/>
        </w:tabs>
        <w:bidi w:val="0"/>
        <w:spacing w:after="120" w:line="276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057FC6" w:rsidRPr="00057FC6" w:rsidRDefault="00057FC6" w:rsidP="0064011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57FC6">
        <w:rPr>
          <w:rFonts w:asciiTheme="majorBidi" w:hAnsiTheme="majorBidi" w:cstheme="majorBidi"/>
          <w:sz w:val="26"/>
          <w:szCs w:val="26"/>
        </w:rPr>
        <w:t>This research focuses on elderly patients who have been hospitalized, are ready to be</w:t>
      </w:r>
      <w:r w:rsidR="00640119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discharged but must remain in the hospital until a bed in a geriatric institution becomes</w:t>
      </w:r>
      <w:r w:rsidR="00640119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available; these patients “block” hospital beds. Bed-blocking has become a challenge to</w:t>
      </w:r>
      <w:r w:rsidR="00640119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healthcare operators due to its economic implications and quality-of-life effect on patients.</w:t>
      </w:r>
    </w:p>
    <w:p w:rsidR="00057FC6" w:rsidRPr="00057FC6" w:rsidRDefault="00057FC6" w:rsidP="001262C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57FC6">
        <w:rPr>
          <w:rFonts w:asciiTheme="majorBidi" w:hAnsiTheme="majorBidi" w:cstheme="majorBidi"/>
          <w:sz w:val="26"/>
          <w:szCs w:val="26"/>
        </w:rPr>
        <w:t>We are thus motivated to model and analyze the flow of patients between hospitals and</w:t>
      </w:r>
      <w:r w:rsidR="00960673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geriatric institutions, in order to improve their joint operation. To this end, we develop a</w:t>
      </w:r>
      <w:r w:rsidR="00960673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mathematical fluid model of this patient flow, which accounts for blocking, mortality and</w:t>
      </w:r>
      <w:r w:rsidR="003619D6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readmission – all significant features of the discussed environment. The time-varying fluid</w:t>
      </w:r>
      <w:r w:rsidR="003619D6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model we developed for this system was found accurate when compared against a two-year</w:t>
      </w:r>
      <w:r w:rsidR="003619D6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data set from a hospital chain and simulation results. Analyzing the fluid model and its offered-load counterpart yields a closed-form expression for bed allocation decisions, which minimizes</w:t>
      </w:r>
      <w:r w:rsidR="006F0CE3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underage and overage costs. Solving for the optimal number of geriatric beds in our system</w:t>
      </w:r>
      <w:r w:rsidR="004F2F1E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demonstrates that significant cost reductions are achievable, when compared to current</w:t>
      </w:r>
      <w:r w:rsidR="001262C2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operations.</w:t>
      </w:r>
    </w:p>
    <w:p w:rsidR="00600DEA" w:rsidRPr="00600DEA" w:rsidRDefault="00057FC6" w:rsidP="00AE533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57FC6">
        <w:rPr>
          <w:rFonts w:asciiTheme="majorBidi" w:hAnsiTheme="majorBidi" w:cstheme="majorBidi"/>
          <w:sz w:val="26"/>
          <w:szCs w:val="26"/>
        </w:rPr>
        <w:t>Finally, to achieve a more comprehensive view of the system, the perspective should include</w:t>
      </w:r>
      <w:r w:rsidR="00AE5331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ED boarded patients waiting for admission to hospital wards. The analysis should also include</w:t>
      </w:r>
      <w:r w:rsidR="00286191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finite waiting rooms and customer loss when the first station is full. Accordingly, we set out to</w:t>
      </w:r>
      <w:r w:rsidR="00286191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model and analyze time-varying tandem flow lines with blocking and reflection. Our models</w:t>
      </w:r>
      <w:r w:rsidR="00286191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yield operational insights on network performance, specifically on the effects of line-length,</w:t>
      </w:r>
      <w:r w:rsidR="00286191">
        <w:rPr>
          <w:rFonts w:asciiTheme="majorBidi" w:hAnsiTheme="majorBidi" w:cstheme="majorBidi"/>
          <w:sz w:val="26"/>
          <w:szCs w:val="26"/>
        </w:rPr>
        <w:t xml:space="preserve"> </w:t>
      </w:r>
      <w:r w:rsidRPr="00057FC6">
        <w:rPr>
          <w:rFonts w:asciiTheme="majorBidi" w:hAnsiTheme="majorBidi" w:cstheme="majorBidi"/>
          <w:sz w:val="26"/>
          <w:szCs w:val="26"/>
        </w:rPr>
        <w:t>bottleneck location, waiting room size and the interaction among these effects.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57FC6"/>
    <w:rsid w:val="00060A96"/>
    <w:rsid w:val="000678C2"/>
    <w:rsid w:val="00092ABB"/>
    <w:rsid w:val="000A025C"/>
    <w:rsid w:val="000A7F9A"/>
    <w:rsid w:val="000C1688"/>
    <w:rsid w:val="000D7A12"/>
    <w:rsid w:val="00102369"/>
    <w:rsid w:val="0010764D"/>
    <w:rsid w:val="001262C2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86191"/>
    <w:rsid w:val="002955C4"/>
    <w:rsid w:val="002C1857"/>
    <w:rsid w:val="002C2128"/>
    <w:rsid w:val="002D6C7B"/>
    <w:rsid w:val="002E5787"/>
    <w:rsid w:val="003146D7"/>
    <w:rsid w:val="00331554"/>
    <w:rsid w:val="00345B92"/>
    <w:rsid w:val="003619D6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4FD7"/>
    <w:rsid w:val="004D5B16"/>
    <w:rsid w:val="004E5DA7"/>
    <w:rsid w:val="004F2F1E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B5BE0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40119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0CE3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96144"/>
    <w:rsid w:val="007A0D34"/>
    <w:rsid w:val="007D031B"/>
    <w:rsid w:val="007F1791"/>
    <w:rsid w:val="007F4C95"/>
    <w:rsid w:val="00815E1F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60673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67F99"/>
    <w:rsid w:val="00A76AE9"/>
    <w:rsid w:val="00A86BF4"/>
    <w:rsid w:val="00AD1963"/>
    <w:rsid w:val="00AD4DDD"/>
    <w:rsid w:val="00AE19A9"/>
    <w:rsid w:val="00AE5331"/>
    <w:rsid w:val="00AF6B6D"/>
    <w:rsid w:val="00AF79AC"/>
    <w:rsid w:val="00B4207E"/>
    <w:rsid w:val="00B50D27"/>
    <w:rsid w:val="00B617B9"/>
    <w:rsid w:val="00B635F8"/>
    <w:rsid w:val="00B802F1"/>
    <w:rsid w:val="00BC409F"/>
    <w:rsid w:val="00BC6AF6"/>
    <w:rsid w:val="00BE24D8"/>
    <w:rsid w:val="00BF6241"/>
    <w:rsid w:val="00C0018D"/>
    <w:rsid w:val="00C01D6E"/>
    <w:rsid w:val="00C26EA3"/>
    <w:rsid w:val="00C322E6"/>
    <w:rsid w:val="00C562DC"/>
    <w:rsid w:val="00C6403D"/>
    <w:rsid w:val="00C81457"/>
    <w:rsid w:val="00C84A45"/>
    <w:rsid w:val="00C95CC3"/>
    <w:rsid w:val="00C973C3"/>
    <w:rsid w:val="00CB0E3C"/>
    <w:rsid w:val="00CB41E2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B882-DB7A-4370-86D7-2904EE98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2017-01-20T13:02:00Z</dcterms:created>
  <dcterms:modified xsi:type="dcterms:W3CDTF">2018-04-29T12:19:00Z</dcterms:modified>
</cp:coreProperties>
</file>