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62565A" w:rsidP="0062565A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565A">
        <w:rPr>
          <w:rFonts w:asciiTheme="majorBidi" w:hAnsiTheme="majorBidi" w:cstheme="majorBidi"/>
          <w:b/>
          <w:bCs/>
          <w:sz w:val="32"/>
          <w:szCs w:val="32"/>
        </w:rPr>
        <w:t>Charity Begins at Home (and at School): Effects of Religion-Based Discrimination in Education</w:t>
      </w:r>
    </w:p>
    <w:p w:rsidR="00DF6A60" w:rsidRDefault="00DF09C7" w:rsidP="002B0B54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Edith Sand</w:t>
      </w:r>
    </w:p>
    <w:p w:rsidR="00027EC8" w:rsidRPr="00AF79AC" w:rsidRDefault="00DF6A60" w:rsidP="00DF09C7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DF09C7" w:rsidRPr="00DF09C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Victor Lavy and Moses Shayo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>Religions often preach preferential</w:t>
      </w:r>
      <w:r>
        <w:rPr>
          <w:rFonts w:asciiTheme="majorBidi" w:hAnsiTheme="majorBidi" w:cstheme="majorBidi"/>
          <w:sz w:val="26"/>
          <w:szCs w:val="26"/>
        </w:rPr>
        <w:t xml:space="preserve"> treatment of fellow believers.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>This paper examines whether one’s religious status (secular or religious) leads one to discriminate against people with a different religious status; how this affects human capital formation; and whether this discrimination is affected by exposure to others with a d</w:t>
      </w:r>
      <w:r>
        <w:rPr>
          <w:rFonts w:asciiTheme="majorBidi" w:hAnsiTheme="majorBidi" w:cstheme="majorBidi"/>
          <w:sz w:val="26"/>
          <w:szCs w:val="26"/>
        </w:rPr>
        <w:t>ifferent religious orientation.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>We develop a method of detecting individual religious status and apply it to study grading decisions on national matriculation exams in I</w:t>
      </w:r>
      <w:r>
        <w:rPr>
          <w:rFonts w:asciiTheme="majorBidi" w:hAnsiTheme="majorBidi" w:cstheme="majorBidi"/>
          <w:sz w:val="26"/>
          <w:szCs w:val="26"/>
        </w:rPr>
        <w:t>srael’s Jewish state education.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 xml:space="preserve">Comparing grades given by religious versus secular examiners to religious versus secular students, we </w:t>
      </w:r>
      <w:r>
        <w:rPr>
          <w:rFonts w:asciiTheme="majorBidi" w:hAnsiTheme="majorBidi" w:cstheme="majorBidi"/>
          <w:sz w:val="26"/>
          <w:szCs w:val="26"/>
        </w:rPr>
        <w:t>find evidence of in-group bias.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>This bias is almost entirely driven by male examiners.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 xml:space="preserve">Exploiting bunching in the grade distribution, we are able to examine who drives this observed bias: </w:t>
      </w:r>
      <w:r>
        <w:rPr>
          <w:rFonts w:asciiTheme="majorBidi" w:hAnsiTheme="majorBidi" w:cstheme="majorBidi"/>
          <w:sz w:val="26"/>
          <w:szCs w:val="26"/>
        </w:rPr>
        <w:t>the secular or the religious.</w:t>
      </w:r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 xml:space="preserve">In addition, we find that in some cases exposure at home and at work to others with different religious </w:t>
      </w:r>
      <w:r>
        <w:rPr>
          <w:rFonts w:asciiTheme="majorBidi" w:hAnsiTheme="majorBidi" w:cstheme="majorBidi"/>
          <w:sz w:val="26"/>
          <w:szCs w:val="26"/>
        </w:rPr>
        <w:t>beliefs may attenuate the bias.</w:t>
      </w:r>
      <w:bookmarkStart w:id="0" w:name="_GoBack"/>
      <w:bookmarkEnd w:id="0"/>
    </w:p>
    <w:p w:rsidR="00AA3D7A" w:rsidRPr="00AA3D7A" w:rsidRDefault="00AA3D7A" w:rsidP="00AA3D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AA3D7A">
        <w:rPr>
          <w:rFonts w:asciiTheme="majorBidi" w:hAnsiTheme="majorBidi" w:cstheme="majorBidi"/>
          <w:sz w:val="26"/>
          <w:szCs w:val="26"/>
        </w:rPr>
        <w:t>These biases in grading have long-run implications since they affect students’ eligibility for university admission and as a result their occupation and earnings in adulthood.</w:t>
      </w:r>
    </w:p>
    <w:sectPr w:rsidR="00AA3D7A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5A" w:rsidRDefault="007C265A" w:rsidP="00E74923">
      <w:pPr>
        <w:spacing w:after="0" w:line="240" w:lineRule="auto"/>
      </w:pPr>
      <w:r>
        <w:separator/>
      </w:r>
    </w:p>
  </w:endnote>
  <w:endnote w:type="continuationSeparator" w:id="0">
    <w:p w:rsidR="007C265A" w:rsidRDefault="007C265A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5A" w:rsidRDefault="007C265A" w:rsidP="00E74923">
      <w:pPr>
        <w:spacing w:after="0" w:line="240" w:lineRule="auto"/>
      </w:pPr>
      <w:r>
        <w:separator/>
      </w:r>
    </w:p>
  </w:footnote>
  <w:footnote w:type="continuationSeparator" w:id="0">
    <w:p w:rsidR="007C265A" w:rsidRDefault="007C265A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C265A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DF09C7"/>
    <w:rsid w:val="00DF3AE3"/>
    <w:rsid w:val="00DF6A60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303E-4FCC-4BA7-9212-FB83B9A3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2017-01-20T13:02:00Z</dcterms:created>
  <dcterms:modified xsi:type="dcterms:W3CDTF">2018-11-21T18:18:00Z</dcterms:modified>
</cp:coreProperties>
</file>